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76" w:lineRule="auto"/>
        <w:rPr>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7710</wp:posOffset>
            </wp:positionH>
            <wp:positionV relativeFrom="page">
              <wp:posOffset>-3809</wp:posOffset>
            </wp:positionV>
            <wp:extent cx="7548245" cy="10674985"/>
            <wp:effectExtent b="0" l="0" r="0" t="0"/>
            <wp:wrapNone/>
            <wp:docPr id="1784179232"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7548245" cy="10674985"/>
                    </a:xfrm>
                    <a:prstGeom prst="rect"/>
                    <a:ln/>
                  </pic:spPr>
                </pic:pic>
              </a:graphicData>
            </a:graphic>
          </wp:anchor>
        </w:drawing>
      </w:r>
      <w:r w:rsidDel="00000000" w:rsidR="00000000" w:rsidRPr="00000000">
        <w:rPr>
          <w:sz w:val="24"/>
          <w:szCs w:val="24"/>
          <w:rtl w:val="0"/>
        </w:rPr>
        <w:t xml:space="preserve">24 March 2025</w:t>
      </w:r>
    </w:p>
    <w:p w:rsidR="00000000" w:rsidDel="00000000" w:rsidP="00000000" w:rsidRDefault="00000000" w:rsidRPr="00000000" w14:paraId="00000002">
      <w:pPr>
        <w:spacing w:line="276" w:lineRule="auto"/>
        <w:rPr>
          <w:sz w:val="24"/>
          <w:szCs w:val="24"/>
        </w:rPr>
      </w:pPr>
      <w:r w:rsidDel="00000000" w:rsidR="00000000" w:rsidRPr="00000000">
        <w:rPr>
          <w:rtl w:val="0"/>
        </w:rPr>
      </w:r>
    </w:p>
    <w:p w:rsidR="00000000" w:rsidDel="00000000" w:rsidP="00000000" w:rsidRDefault="00000000" w:rsidRPr="00000000" w14:paraId="00000003">
      <w:pPr>
        <w:spacing w:line="276" w:lineRule="auto"/>
        <w:rPr>
          <w:sz w:val="24"/>
          <w:szCs w:val="24"/>
        </w:rPr>
      </w:pPr>
      <w:r w:rsidDel="00000000" w:rsidR="00000000" w:rsidRPr="00000000">
        <w:rPr>
          <w:sz w:val="24"/>
          <w:szCs w:val="24"/>
          <w:rtl w:val="0"/>
        </w:rPr>
        <w:t xml:space="preserve">Open Letter to [</w:t>
      </w:r>
      <w:r w:rsidDel="00000000" w:rsidR="00000000" w:rsidRPr="00000000">
        <w:rPr>
          <w:sz w:val="24"/>
          <w:szCs w:val="24"/>
          <w:highlight w:val="yellow"/>
          <w:rtl w:val="0"/>
        </w:rPr>
        <w:t xml:space="preserve">insert targets</w:t>
      </w:r>
      <w:r w:rsidDel="00000000" w:rsidR="00000000" w:rsidRPr="00000000">
        <w:rPr>
          <w:sz w:val="24"/>
          <w:szCs w:val="24"/>
          <w:rtl w:val="0"/>
        </w:rPr>
        <w:t xml:space="preserve">]</w:t>
      </w:r>
    </w:p>
    <w:p w:rsidR="00000000" w:rsidDel="00000000" w:rsidP="00000000" w:rsidRDefault="00000000" w:rsidRPr="00000000" w14:paraId="00000004">
      <w:pPr>
        <w:spacing w:line="276" w:lineRule="auto"/>
        <w:rPr>
          <w:sz w:val="24"/>
          <w:szCs w:val="24"/>
        </w:rPr>
      </w:pPr>
      <w:r w:rsidDel="00000000" w:rsidR="00000000" w:rsidRPr="00000000">
        <w:rPr>
          <w:rtl w:val="0"/>
        </w:rPr>
      </w:r>
    </w:p>
    <w:p w:rsidR="00000000" w:rsidDel="00000000" w:rsidP="00000000" w:rsidRDefault="00000000" w:rsidRPr="00000000" w14:paraId="00000005">
      <w:pPr>
        <w:spacing w:line="276" w:lineRule="auto"/>
        <w:rPr>
          <w:sz w:val="24"/>
          <w:szCs w:val="24"/>
        </w:rPr>
      </w:pPr>
      <w:r w:rsidDel="00000000" w:rsidR="00000000" w:rsidRPr="00000000">
        <w:rPr>
          <w:sz w:val="24"/>
          <w:szCs w:val="24"/>
          <w:rtl w:val="0"/>
        </w:rPr>
        <w:t xml:space="preserve">To: [</w:t>
      </w:r>
      <w:r w:rsidDel="00000000" w:rsidR="00000000" w:rsidRPr="00000000">
        <w:rPr>
          <w:sz w:val="24"/>
          <w:szCs w:val="24"/>
          <w:highlight w:val="yellow"/>
          <w:rtl w:val="0"/>
        </w:rPr>
        <w:t xml:space="preserve">name/official title</w:t>
      </w:r>
      <w:r w:rsidDel="00000000" w:rsidR="00000000" w:rsidRPr="00000000">
        <w:rPr>
          <w:sz w:val="24"/>
          <w:szCs w:val="24"/>
          <w:rtl w:val="0"/>
        </w:rPr>
        <w:t xml:space="preserve">]</w:t>
      </w:r>
    </w:p>
    <w:p w:rsidR="00000000" w:rsidDel="00000000" w:rsidP="00000000" w:rsidRDefault="00000000" w:rsidRPr="00000000" w14:paraId="00000006">
      <w:pPr>
        <w:spacing w:line="276" w:lineRule="auto"/>
        <w:rPr>
          <w:sz w:val="24"/>
          <w:szCs w:val="24"/>
        </w:rPr>
      </w:pPr>
      <w:r w:rsidDel="00000000" w:rsidR="00000000" w:rsidRPr="00000000">
        <w:rPr>
          <w:sz w:val="24"/>
          <w:szCs w:val="24"/>
          <w:rtl w:val="0"/>
        </w:rPr>
        <w:t xml:space="preserve">Cc: [</w:t>
      </w:r>
      <w:r w:rsidDel="00000000" w:rsidR="00000000" w:rsidRPr="00000000">
        <w:rPr>
          <w:sz w:val="24"/>
          <w:szCs w:val="24"/>
          <w:highlight w:val="yellow"/>
          <w:rtl w:val="0"/>
        </w:rPr>
        <w:t xml:space="preserve">name/official title</w:t>
      </w:r>
      <w:r w:rsidDel="00000000" w:rsidR="00000000" w:rsidRPr="00000000">
        <w:rPr>
          <w:sz w:val="24"/>
          <w:szCs w:val="24"/>
          <w:rtl w:val="0"/>
        </w:rPr>
        <w:t xml:space="preserve">]</w:t>
      </w:r>
    </w:p>
    <w:p w:rsidR="00000000" w:rsidDel="00000000" w:rsidP="00000000" w:rsidRDefault="00000000" w:rsidRPr="00000000" w14:paraId="00000007">
      <w:pPr>
        <w:spacing w:line="27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8">
      <w:pPr>
        <w:spacing w:line="276" w:lineRule="auto"/>
        <w:rPr>
          <w:sz w:val="24"/>
          <w:szCs w:val="24"/>
        </w:rPr>
      </w:pPr>
      <w:r w:rsidDel="00000000" w:rsidR="00000000" w:rsidRPr="00000000">
        <w:rPr>
          <w:rtl w:val="0"/>
        </w:rPr>
      </w:r>
    </w:p>
    <w:p w:rsidR="00000000" w:rsidDel="00000000" w:rsidP="00000000" w:rsidRDefault="00000000" w:rsidRPr="00000000" w14:paraId="00000009">
      <w:pPr>
        <w:spacing w:line="276" w:lineRule="auto"/>
        <w:rPr>
          <w:sz w:val="24"/>
          <w:szCs w:val="24"/>
        </w:rPr>
      </w:pPr>
      <w:r w:rsidDel="00000000" w:rsidR="00000000" w:rsidRPr="00000000">
        <w:rPr>
          <w:sz w:val="24"/>
          <w:szCs w:val="24"/>
          <w:rtl w:val="0"/>
        </w:rPr>
        <w:t xml:space="preserve">Honourable [</w:t>
      </w:r>
      <w:r w:rsidDel="00000000" w:rsidR="00000000" w:rsidRPr="00000000">
        <w:rPr>
          <w:sz w:val="24"/>
          <w:szCs w:val="24"/>
          <w:highlight w:val="yellow"/>
          <w:rtl w:val="0"/>
        </w:rPr>
        <w:t xml:space="preserve">Insert name/salutation</w:t>
      </w:r>
      <w:r w:rsidDel="00000000" w:rsidR="00000000" w:rsidRPr="00000000">
        <w:rPr>
          <w:sz w:val="24"/>
          <w:szCs w:val="24"/>
          <w:rtl w:val="0"/>
        </w:rPr>
        <w:t xml:space="preserve">],</w:t>
      </w:r>
    </w:p>
    <w:p w:rsidR="00000000" w:rsidDel="00000000" w:rsidP="00000000" w:rsidRDefault="00000000" w:rsidRPr="00000000" w14:paraId="0000000A">
      <w:pPr>
        <w:spacing w:line="276" w:lineRule="auto"/>
        <w:rPr>
          <w:sz w:val="24"/>
          <w:szCs w:val="24"/>
        </w:rPr>
      </w:pPr>
      <w:r w:rsidDel="00000000" w:rsidR="00000000" w:rsidRPr="00000000">
        <w:rPr>
          <w:rtl w:val="0"/>
        </w:rPr>
      </w:r>
    </w:p>
    <w:p w:rsidR="00000000" w:rsidDel="00000000" w:rsidP="00000000" w:rsidRDefault="00000000" w:rsidRPr="00000000" w14:paraId="0000000B">
      <w:pPr>
        <w:spacing w:line="276" w:lineRule="auto"/>
        <w:rPr>
          <w:sz w:val="24"/>
          <w:szCs w:val="24"/>
        </w:rPr>
      </w:pPr>
      <w:r w:rsidDel="00000000" w:rsidR="00000000" w:rsidRPr="00000000">
        <w:rPr>
          <w:sz w:val="24"/>
          <w:szCs w:val="24"/>
          <w:rtl w:val="0"/>
        </w:rPr>
        <w:t xml:space="preserve">As we mark World TB Day on March 24, we urge the [</w:t>
      </w:r>
      <w:r w:rsidDel="00000000" w:rsidR="00000000" w:rsidRPr="00000000">
        <w:rPr>
          <w:sz w:val="24"/>
          <w:szCs w:val="24"/>
          <w:highlight w:val="yellow"/>
          <w:rtl w:val="0"/>
        </w:rPr>
        <w:t xml:space="preserve">Ministry of Health/Government of Country</w:t>
      </w:r>
      <w:r w:rsidDel="00000000" w:rsidR="00000000" w:rsidRPr="00000000">
        <w:rPr>
          <w:sz w:val="24"/>
          <w:szCs w:val="24"/>
          <w:rtl w:val="0"/>
        </w:rPr>
        <w:t xml:space="preserve">] to accelerate efforts to end tuberculosis (TB) in [</w:t>
      </w:r>
      <w:r w:rsidDel="00000000" w:rsidR="00000000" w:rsidRPr="00000000">
        <w:rPr>
          <w:sz w:val="24"/>
          <w:szCs w:val="24"/>
          <w:highlight w:val="yellow"/>
          <w:rtl w:val="0"/>
        </w:rPr>
        <w:t xml:space="preserve">Country</w:t>
      </w:r>
      <w:r w:rsidDel="00000000" w:rsidR="00000000" w:rsidRPr="00000000">
        <w:rPr>
          <w:sz w:val="24"/>
          <w:szCs w:val="24"/>
          <w:rtl w:val="0"/>
        </w:rPr>
        <w:t xml:space="preserve">]. </w:t>
      </w:r>
    </w:p>
    <w:p w:rsidR="00000000" w:rsidDel="00000000" w:rsidP="00000000" w:rsidRDefault="00000000" w:rsidRPr="00000000" w14:paraId="0000000C">
      <w:pPr>
        <w:spacing w:line="276" w:lineRule="auto"/>
        <w:rPr>
          <w:sz w:val="24"/>
          <w:szCs w:val="24"/>
        </w:rPr>
      </w:pPr>
      <w:r w:rsidDel="00000000" w:rsidR="00000000" w:rsidRPr="00000000">
        <w:rPr>
          <w:sz w:val="24"/>
          <w:szCs w:val="24"/>
          <w:rtl w:val="0"/>
        </w:rPr>
        <w:t xml:space="preserve">Worldwide, TB is the leading infectious disease killer. This year’s global theme for World TB Day, “Yes! We Can End TB: Commit, Invest, Deliver” is a call for hope, urgency, and accountability. We ask you to take note and act on the political commitments, mobilise sustainable financial investments, and strengthen the accountability mechanisms needed to achieve TB elimination.</w:t>
      </w:r>
    </w:p>
    <w:p w:rsidR="00000000" w:rsidDel="00000000" w:rsidP="00000000" w:rsidRDefault="00000000" w:rsidRPr="00000000" w14:paraId="0000000D">
      <w:pPr>
        <w:spacing w:line="276" w:lineRule="auto"/>
        <w:rPr>
          <w:sz w:val="24"/>
          <w:szCs w:val="24"/>
        </w:rPr>
      </w:pPr>
      <w:r w:rsidDel="00000000" w:rsidR="00000000" w:rsidRPr="00000000">
        <w:rPr>
          <w:sz w:val="24"/>
          <w:szCs w:val="24"/>
          <w:rtl w:val="0"/>
        </w:rPr>
        <w:t xml:space="preserve">TB continues to pose a major public health challenge in [</w:t>
      </w:r>
      <w:r w:rsidDel="00000000" w:rsidR="00000000" w:rsidRPr="00000000">
        <w:rPr>
          <w:sz w:val="24"/>
          <w:szCs w:val="24"/>
          <w:highlight w:val="yellow"/>
          <w:rtl w:val="0"/>
        </w:rPr>
        <w:t xml:space="preserve">Country</w:t>
      </w:r>
      <w:r w:rsidDel="00000000" w:rsidR="00000000" w:rsidRPr="00000000">
        <w:rPr>
          <w:sz w:val="24"/>
          <w:szCs w:val="24"/>
          <w:rtl w:val="0"/>
        </w:rPr>
        <w:t xml:space="preserve">]. According to the </w:t>
      </w:r>
      <w:hyperlink r:id="rId10">
        <w:r w:rsidDel="00000000" w:rsidR="00000000" w:rsidRPr="00000000">
          <w:rPr>
            <w:color w:val="0563c1"/>
            <w:sz w:val="24"/>
            <w:szCs w:val="24"/>
            <w:u w:val="single"/>
            <w:rtl w:val="0"/>
          </w:rPr>
          <w:t xml:space="preserve">WHO Global TB Report 2024</w:t>
        </w:r>
      </w:hyperlink>
      <w:r w:rsidDel="00000000" w:rsidR="00000000" w:rsidRPr="00000000">
        <w:rPr>
          <w:sz w:val="24"/>
          <w:szCs w:val="24"/>
          <w:rtl w:val="0"/>
        </w:rPr>
        <w:t xml:space="preserve">, </w:t>
      </w:r>
      <w:r w:rsidDel="00000000" w:rsidR="00000000" w:rsidRPr="00000000">
        <w:rPr>
          <w:color w:val="000000"/>
          <w:sz w:val="24"/>
          <w:szCs w:val="24"/>
          <w:rtl w:val="0"/>
        </w:rPr>
        <w:t xml:space="preserve">8.2 million people around the world were newly diagnosed with TB in 2023, an alarming increase from 7.5 million in 2022. TB caused over 400,000 deaths in just the Africa region in 2023. </w:t>
      </w:r>
      <w:sdt>
        <w:sdtPr>
          <w:id w:val="-743929891"/>
          <w:tag w:val="goog_rdk_0"/>
        </w:sdtPr>
        <w:sdtContent>
          <w:commentRangeStart w:id="0"/>
        </w:sdtContent>
      </w:sdt>
      <w:r w:rsidDel="00000000" w:rsidR="00000000" w:rsidRPr="00000000">
        <w:rPr>
          <w:color w:val="000000"/>
          <w:sz w:val="24"/>
          <w:szCs w:val="24"/>
          <w:highlight w:val="yellow"/>
          <w:rtl w:val="0"/>
        </w:rPr>
        <w:t xml:space="preserve">In</w:t>
      </w:r>
      <w:r w:rsidDel="00000000" w:rsidR="00000000" w:rsidRPr="00000000">
        <w:rPr>
          <w:color w:val="000000"/>
          <w:sz w:val="24"/>
          <w:szCs w:val="24"/>
          <w:rtl w:val="0"/>
        </w:rPr>
        <w:t xml:space="preserve"> </w:t>
      </w:r>
      <w:r w:rsidDel="00000000" w:rsidR="00000000" w:rsidRPr="00000000">
        <w:rPr>
          <w:color w:val="000000"/>
          <w:sz w:val="24"/>
          <w:szCs w:val="24"/>
          <w:highlight w:val="yellow"/>
          <w:rtl w:val="0"/>
        </w:rPr>
        <w:t xml:space="preserve">[country], </w:t>
      </w:r>
      <w:r w:rsidDel="00000000" w:rsidR="00000000" w:rsidRPr="00000000">
        <w:rPr>
          <w:sz w:val="24"/>
          <w:szCs w:val="24"/>
          <w:highlight w:val="yellow"/>
          <w:rtl w:val="0"/>
        </w:rPr>
        <w:t xml:space="preserve">[insert relevant TB burden data for country: such as incidence, number of people living with TB, number of deaths, treatment coverage, etc.</w:t>
      </w:r>
      <w:r w:rsidDel="00000000" w:rsidR="00000000" w:rsidRPr="00000000">
        <w:rPr>
          <w:sz w:val="24"/>
          <w:szCs w:val="24"/>
          <w:rtl w:val="0"/>
        </w:rPr>
        <w:t xml:space="preserve">].</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E">
      <w:pPr>
        <w:spacing w:line="276" w:lineRule="auto"/>
        <w:rPr>
          <w:sz w:val="24"/>
          <w:szCs w:val="24"/>
        </w:rPr>
      </w:pPr>
      <w:r w:rsidDel="00000000" w:rsidR="00000000" w:rsidRPr="00000000">
        <w:rPr>
          <w:sz w:val="24"/>
          <w:szCs w:val="24"/>
          <w:rtl w:val="0"/>
        </w:rPr>
        <w:t xml:space="preserve">The </w:t>
      </w:r>
      <w:hyperlink r:id="rId11">
        <w:r w:rsidDel="00000000" w:rsidR="00000000" w:rsidRPr="00000000">
          <w:rPr>
            <w:color w:val="0563c1"/>
            <w:sz w:val="24"/>
            <w:szCs w:val="24"/>
            <w:u w:val="single"/>
            <w:rtl w:val="0"/>
          </w:rPr>
          <w:t xml:space="preserve">Global Plan to End TB 2023–2030</w:t>
        </w:r>
      </w:hyperlink>
      <w:r w:rsidDel="00000000" w:rsidR="00000000" w:rsidRPr="00000000">
        <w:rPr>
          <w:sz w:val="24"/>
          <w:szCs w:val="24"/>
          <w:rtl w:val="0"/>
        </w:rPr>
        <w:t xml:space="preserve"> emphasizes priority categories for interventions, including early diagnosis, treatment and care, prevention, systems and enablers, research and development, resource mobilization, addressing social determinants of health and avoiding catastrophic costs. While [</w:t>
      </w:r>
      <w:r w:rsidDel="00000000" w:rsidR="00000000" w:rsidRPr="00000000">
        <w:rPr>
          <w:sz w:val="24"/>
          <w:szCs w:val="24"/>
          <w:highlight w:val="yellow"/>
          <w:rtl w:val="0"/>
        </w:rPr>
        <w:t xml:space="preserve">Country</w:t>
      </w:r>
      <w:r w:rsidDel="00000000" w:rsidR="00000000" w:rsidRPr="00000000">
        <w:rPr>
          <w:sz w:val="24"/>
          <w:szCs w:val="24"/>
          <w:rtl w:val="0"/>
        </w:rPr>
        <w:t xml:space="preserve">] has made commitments to address TB, gaps in </w:t>
      </w:r>
      <w:r w:rsidDel="00000000" w:rsidR="00000000" w:rsidRPr="00000000">
        <w:rPr>
          <w:b w:val="1"/>
          <w:sz w:val="24"/>
          <w:szCs w:val="24"/>
          <w:rtl w:val="0"/>
        </w:rPr>
        <w:t xml:space="preserve">TB case finding, treatment, prevention, funding, and social protection </w:t>
      </w:r>
      <w:r w:rsidDel="00000000" w:rsidR="00000000" w:rsidRPr="00000000">
        <w:rPr>
          <w:sz w:val="24"/>
          <w:szCs w:val="24"/>
          <w:rtl w:val="0"/>
        </w:rPr>
        <w:t xml:space="preserve">hinder progress. The social determinants of TB need to be addressed with clear policy and resources: evidence shows that the persistence of TB is exacerbated by poverty, food insecurity, and stigma. </w:t>
      </w:r>
    </w:p>
    <w:p w:rsidR="00000000" w:rsidDel="00000000" w:rsidP="00000000" w:rsidRDefault="00000000" w:rsidRPr="00000000" w14:paraId="0000000F">
      <w:pPr>
        <w:spacing w:line="276" w:lineRule="auto"/>
        <w:rPr>
          <w:sz w:val="24"/>
          <w:szCs w:val="24"/>
        </w:rPr>
      </w:pPr>
      <w:r w:rsidDel="00000000" w:rsidR="00000000" w:rsidRPr="00000000">
        <w:rPr>
          <w:sz w:val="24"/>
          <w:szCs w:val="24"/>
          <w:rtl w:val="0"/>
        </w:rPr>
        <w:t xml:space="preserve">Today, as donor funding is becoming increasingly challenging and threatening the sustainability of critical TB programmes and interventions, we urge you to close the gaps and prioritise domestic investments in TB. </w:t>
      </w:r>
    </w:p>
    <w:p w:rsidR="00000000" w:rsidDel="00000000" w:rsidP="00000000" w:rsidRDefault="00000000" w:rsidRPr="00000000" w14:paraId="00000010">
      <w:pPr>
        <w:spacing w:line="276" w:lineRule="auto"/>
        <w:rPr>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17145</wp:posOffset>
            </wp:positionH>
            <wp:positionV relativeFrom="page">
              <wp:posOffset>4445</wp:posOffset>
            </wp:positionV>
            <wp:extent cx="7548245" cy="10674985"/>
            <wp:effectExtent b="0" l="0" r="0" t="0"/>
            <wp:wrapNone/>
            <wp:docPr id="1784179230"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7548245" cy="10674985"/>
                    </a:xfrm>
                    <a:prstGeom prst="rect"/>
                    <a:ln/>
                  </pic:spPr>
                </pic:pic>
              </a:graphicData>
            </a:graphic>
          </wp:anchor>
        </w:drawing>
      </w:r>
      <w:r w:rsidDel="00000000" w:rsidR="00000000" w:rsidRPr="00000000">
        <w:rPr>
          <w:sz w:val="24"/>
          <w:szCs w:val="24"/>
          <w:rtl w:val="0"/>
        </w:rPr>
        <w:t xml:space="preserve">We call on the [</w:t>
      </w:r>
      <w:r w:rsidDel="00000000" w:rsidR="00000000" w:rsidRPr="00000000">
        <w:rPr>
          <w:sz w:val="24"/>
          <w:szCs w:val="24"/>
          <w:highlight w:val="yellow"/>
          <w:rtl w:val="0"/>
        </w:rPr>
        <w:t xml:space="preserve">Country</w:t>
      </w:r>
      <w:r w:rsidDel="00000000" w:rsidR="00000000" w:rsidRPr="00000000">
        <w:rPr>
          <w:sz w:val="24"/>
          <w:szCs w:val="24"/>
          <w:rtl w:val="0"/>
        </w:rPr>
        <w:t xml:space="preserve">] government to make TB a political priority so that health for all can be achieved. Specifically, we ask for:</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Increased funding for TB: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Invest in ending the epidemic by ensuring the allocation of domestic resources to TB diagnostics, treatment and care, especially community-led initiatives.</w:t>
      </w:r>
    </w:p>
    <w:p w:rsidR="00000000" w:rsidDel="00000000" w:rsidP="00000000" w:rsidRDefault="00000000" w:rsidRPr="00000000" w14:paraId="0000001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Increase TB funding as part of strengthening domestic resource mobilisation for health in order to ensure sustainable support for TB programmes, while also supporting a successful replenishment of the Global Fund, which remains the largest multilateral source of TB funding around the world.</w:t>
      </w:r>
    </w:p>
    <w:p w:rsidR="00000000" w:rsidDel="00000000" w:rsidP="00000000" w:rsidRDefault="00000000" w:rsidRPr="00000000" w14:paraId="0000001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Prioritise sustained and increased domestic funding for TB as an economic imperative and cornerstone of a healthier future. Investments in the TB response not only save costs but also yield economic returns. The Global Fund estimates that every US$1 invested in fighting HIV, TB and malaria will result in US$19 in health gains and economic returns between 2027 and 2029.</w:t>
        <w:br w:type="textWrapping"/>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People-centred care that leave no one behind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Ensure equitable access to quality TB services for all.</w:t>
      </w:r>
    </w:p>
    <w:p w:rsidR="00000000" w:rsidDel="00000000" w:rsidP="00000000" w:rsidRDefault="00000000" w:rsidRPr="00000000" w14:paraId="0000001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Expand TB programmes to reach all communities and ensure that services are accessible regardless of location, identity, or socioeconomic status. No one should be denied access to effective TB care because of who they are or where they live. Ensuring people-centred TB programmes that improve social security and quality of life is an investment in justice and dignity. </w:t>
      </w:r>
    </w:p>
    <w:p w:rsidR="00000000" w:rsidDel="00000000" w:rsidP="00000000" w:rsidRDefault="00000000" w:rsidRPr="00000000" w14:paraId="0000001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Strengthen community-led TB responses by investing in programmes that are most relevant and responsive to the needs of affected populations. Scaling up shorter, safer treatment options that are relevant to community needs is also essential in slowing the spread of drug-resistant TB.</w:t>
        <w:br w:type="textWrapping"/>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Strengthened community leadership in TB response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Institutionalise and resource civil society and community engagement for TB policy development and implementation. </w:t>
      </w:r>
    </w:p>
    <w:p w:rsidR="00000000" w:rsidDel="00000000" w:rsidP="00000000" w:rsidRDefault="00000000" w:rsidRPr="00000000" w14:paraId="000000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Ensure civil society and affected communities are central to TB decision-making to ensure that policies and programmes are rights-based, inclusive, and address stigma and discrimination. </w:t>
      </w:r>
    </w:p>
    <w:p w:rsidR="00000000" w:rsidDel="00000000" w:rsidP="00000000" w:rsidRDefault="00000000" w:rsidRPr="00000000" w14:paraId="0000001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Strengthen support for community-led monitoring by ensuring that TB-affected communities and civil society organisations have a formal and appropriately resourced role in tracking progress, identifying barriers, and providing feedback at facility and national levels. Community-led insights must inform programme improvements and accountability mechanisms.</w:t>
        <w:br w:type="textWrapping"/>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Investment in TB research and development (R&amp;D) and support for local manufacturing: Accelerate innovations as well as access to innovations to strengthen the TB response nationally, regionally, and globally.</w:t>
      </w:r>
    </w:p>
    <w:p w:rsidR="00000000" w:rsidDel="00000000" w:rsidP="00000000" w:rsidRDefault="00000000" w:rsidRPr="00000000" w14:paraId="0000001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Support investments in TB R&amp;D to drive innovation for vaccines, diagnostics, and shorter, more effective treatments. As the epidemic increases in its complexity – including the rise of drug-resistant TB and the health impacts of economic shocks and climate change – new scientific advancements are urgently needed. Domestic financing for TB R&amp;D is critical to ensuring that these advancements translate into accessible, life-saving solutions for all.</w:t>
      </w:r>
    </w:p>
    <w:p w:rsidR="00000000" w:rsidDel="00000000" w:rsidP="00000000" w:rsidRDefault="00000000" w:rsidRPr="00000000" w14:paraId="0000001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Support local manufacturing of TB products to reduce reliance on external supply chains and strengthen regional health sovereignty. Public-private partnerships and long-term funding for domestic manufacturing and research infrastructure will ensure that we can respond to TB effectively while building a more resilient health system</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D">
      <w:pPr>
        <w:spacing w:line="276" w:lineRule="auto"/>
        <w:rPr>
          <w:sz w:val="24"/>
          <w:szCs w:val="24"/>
          <w:highlight w:val="yellow"/>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0</wp:posOffset>
            </wp:positionH>
            <wp:positionV relativeFrom="page">
              <wp:posOffset>-634</wp:posOffset>
            </wp:positionV>
            <wp:extent cx="7548245" cy="10674985"/>
            <wp:effectExtent b="0" l="0" r="0" t="0"/>
            <wp:wrapNone/>
            <wp:docPr id="178417923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7548245" cy="10674985"/>
                    </a:xfrm>
                    <a:prstGeom prst="rect"/>
                    <a:ln/>
                  </pic:spPr>
                </pic:pic>
              </a:graphicData>
            </a:graphic>
          </wp:anchor>
        </w:drawing>
      </w:r>
      <w:r w:rsidDel="00000000" w:rsidR="00000000" w:rsidRPr="00000000">
        <w:rPr>
          <w:rtl w:val="0"/>
        </w:rPr>
      </w:r>
    </w:p>
    <w:p w:rsidR="00000000" w:rsidDel="00000000" w:rsidP="00000000" w:rsidRDefault="00000000" w:rsidRPr="00000000" w14:paraId="0000001E">
      <w:pPr>
        <w:spacing w:line="276" w:lineRule="auto"/>
        <w:rPr>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13335</wp:posOffset>
            </wp:positionH>
            <wp:positionV relativeFrom="page">
              <wp:posOffset>-1269</wp:posOffset>
            </wp:positionV>
            <wp:extent cx="7548245" cy="10674985"/>
            <wp:effectExtent b="0" l="0" r="0" t="0"/>
            <wp:wrapNone/>
            <wp:docPr id="1784179233"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7548245" cy="10674985"/>
                    </a:xfrm>
                    <a:prstGeom prst="rect"/>
                    <a:ln/>
                  </pic:spPr>
                </pic:pic>
              </a:graphicData>
            </a:graphic>
          </wp:anchor>
        </w:drawing>
      </w:r>
      <w:r w:rsidDel="00000000" w:rsidR="00000000" w:rsidRPr="00000000">
        <w:rPr>
          <w:sz w:val="24"/>
          <w:szCs w:val="24"/>
          <w:rtl w:val="0"/>
        </w:rPr>
        <w:t xml:space="preserve">On World TB Day 2025, we urge you to recommit to ending TB as a moral and political imperative. TB affects individuals, families, entire communities, and the future of the country. We must ensure that no one dies from a disease that is both preventable and curable by taking urgent action now. To save lives, the government must invest in the TB response, ensure quality services are accessible to all, strengthen community-led responses, and build up the R&amp;D ecosystem. </w:t>
      </w:r>
    </w:p>
    <w:p w:rsidR="00000000" w:rsidDel="00000000" w:rsidP="00000000" w:rsidRDefault="00000000" w:rsidRPr="00000000" w14:paraId="0000001F">
      <w:pPr>
        <w:spacing w:line="276" w:lineRule="auto"/>
        <w:rPr>
          <w:sz w:val="24"/>
          <w:szCs w:val="24"/>
        </w:rPr>
      </w:pPr>
      <w:r w:rsidDel="00000000" w:rsidR="00000000" w:rsidRPr="00000000">
        <w:rPr>
          <w:sz w:val="24"/>
          <w:szCs w:val="24"/>
          <w:rtl w:val="0"/>
        </w:rPr>
        <w:t xml:space="preserve">We stand ready to work together on these commitments and realise the goal of ending TB by 2030. We appreciate your leadership and look forward to your response.</w:t>
      </w:r>
    </w:p>
    <w:p w:rsidR="00000000" w:rsidDel="00000000" w:rsidP="00000000" w:rsidRDefault="00000000" w:rsidRPr="00000000" w14:paraId="00000020">
      <w:pPr>
        <w:spacing w:line="276" w:lineRule="auto"/>
        <w:rPr>
          <w:sz w:val="24"/>
          <w:szCs w:val="24"/>
        </w:rPr>
      </w:pPr>
      <w:r w:rsidDel="00000000" w:rsidR="00000000" w:rsidRPr="00000000">
        <w:rPr>
          <w:rtl w:val="0"/>
        </w:rPr>
      </w:r>
    </w:p>
    <w:p w:rsidR="00000000" w:rsidDel="00000000" w:rsidP="00000000" w:rsidRDefault="00000000" w:rsidRPr="00000000" w14:paraId="00000021">
      <w:pPr>
        <w:spacing w:line="276" w:lineRule="auto"/>
        <w:rPr>
          <w:sz w:val="24"/>
          <w:szCs w:val="24"/>
          <w:highlight w:val="yellow"/>
        </w:rPr>
      </w:pPr>
      <w:r w:rsidDel="00000000" w:rsidR="00000000" w:rsidRPr="00000000">
        <w:rPr>
          <w:sz w:val="24"/>
          <w:szCs w:val="24"/>
          <w:highlight w:val="yellow"/>
          <w:rtl w:val="0"/>
        </w:rPr>
        <w:t xml:space="preserve">[Sender/organisation name]</w:t>
      </w:r>
    </w:p>
    <w:p w:rsidR="00000000" w:rsidDel="00000000" w:rsidP="00000000" w:rsidRDefault="00000000" w:rsidRPr="00000000" w14:paraId="00000022">
      <w:pPr>
        <w:spacing w:line="276" w:lineRule="auto"/>
        <w:rPr>
          <w:sz w:val="24"/>
          <w:szCs w:val="24"/>
          <w:highlight w:val="yellow"/>
        </w:rPr>
      </w:pPr>
      <w:r w:rsidDel="00000000" w:rsidR="00000000" w:rsidRPr="00000000">
        <w:rPr>
          <w:sz w:val="24"/>
          <w:szCs w:val="24"/>
          <w:highlight w:val="yellow"/>
          <w:rtl w:val="0"/>
        </w:rPr>
        <w:t xml:space="preserve">[Contact information]</w:t>
      </w:r>
    </w:p>
    <w:p w:rsidR="00000000" w:rsidDel="00000000" w:rsidP="00000000" w:rsidRDefault="00000000" w:rsidRPr="00000000" w14:paraId="00000023">
      <w:pPr>
        <w:spacing w:line="276" w:lineRule="auto"/>
        <w:rPr>
          <w:sz w:val="24"/>
          <w:szCs w:val="24"/>
          <w:highlight w:val="yellow"/>
        </w:rPr>
      </w:pPr>
      <w:r w:rsidDel="00000000" w:rsidR="00000000" w:rsidRPr="00000000">
        <w:rPr>
          <w:rtl w:val="0"/>
        </w:rPr>
      </w:r>
    </w:p>
    <w:p w:rsidR="00000000" w:rsidDel="00000000" w:rsidP="00000000" w:rsidRDefault="00000000" w:rsidRPr="00000000" w14:paraId="00000024">
      <w:pPr>
        <w:spacing w:line="276" w:lineRule="auto"/>
        <w:rPr>
          <w:sz w:val="24"/>
          <w:szCs w:val="24"/>
          <w:highlight w:val="yellow"/>
        </w:rPr>
      </w:pPr>
      <w:r w:rsidDel="00000000" w:rsidR="00000000" w:rsidRPr="00000000">
        <w:rPr>
          <w:rtl w:val="0"/>
        </w:rPr>
      </w:r>
    </w:p>
    <w:p w:rsidR="00000000" w:rsidDel="00000000" w:rsidP="00000000" w:rsidRDefault="00000000" w:rsidRPr="00000000" w14:paraId="00000025">
      <w:pPr>
        <w:spacing w:line="276" w:lineRule="auto"/>
        <w:rPr>
          <w:sz w:val="24"/>
          <w:szCs w:val="24"/>
          <w:highlight w:val="yellow"/>
        </w:rPr>
      </w:pPr>
      <w:r w:rsidDel="00000000" w:rsidR="00000000" w:rsidRPr="00000000">
        <w:rPr>
          <w:sz w:val="24"/>
          <w:szCs w:val="24"/>
          <w:highlight w:val="yellow"/>
          <w:rtl w:val="0"/>
        </w:rPr>
        <w:t xml:space="preserve">Co-signed by:</w:t>
      </w:r>
    </w:p>
    <w:p w:rsidR="00000000" w:rsidDel="00000000" w:rsidP="00000000" w:rsidRDefault="00000000" w:rsidRPr="00000000" w14:paraId="00000026">
      <w:pPr>
        <w:spacing w:line="276" w:lineRule="auto"/>
        <w:rPr>
          <w:sz w:val="24"/>
          <w:szCs w:val="24"/>
        </w:rPr>
      </w:pPr>
      <w:r w:rsidDel="00000000" w:rsidR="00000000" w:rsidRPr="00000000">
        <w:rPr>
          <w:sz w:val="24"/>
          <w:szCs w:val="24"/>
          <w:highlight w:val="yellow"/>
          <w:rtl w:val="0"/>
        </w:rPr>
        <w:t xml:space="preserve">[list of co-signers, if available]</w:t>
      </w:r>
      <w:r w:rsidDel="00000000" w:rsidR="00000000" w:rsidRPr="00000000">
        <w:rPr>
          <w:rtl w:val="0"/>
        </w:rPr>
      </w:r>
    </w:p>
    <w:p w:rsidR="00000000" w:rsidDel="00000000" w:rsidP="00000000" w:rsidRDefault="00000000" w:rsidRPr="00000000" w14:paraId="00000027">
      <w:pPr>
        <w:spacing w:line="276" w:lineRule="auto"/>
        <w:rPr>
          <w:sz w:val="24"/>
          <w:szCs w:val="24"/>
        </w:rPr>
      </w:pPr>
      <w:r w:rsidDel="00000000" w:rsidR="00000000" w:rsidRPr="00000000">
        <w:rPr>
          <w:rtl w:val="0"/>
        </w:rPr>
      </w:r>
    </w:p>
    <w:p w:rsidR="00000000" w:rsidDel="00000000" w:rsidP="00000000" w:rsidRDefault="00000000" w:rsidRPr="00000000" w14:paraId="00000028">
      <w:pPr>
        <w:spacing w:line="276" w:lineRule="auto"/>
        <w:rPr>
          <w:sz w:val="24"/>
          <w:szCs w:val="24"/>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38" w:w="11906" w:orient="portrait"/>
      <w:pgMar w:bottom="1768" w:top="1417" w:left="1417" w:right="1417"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Carthi Mannikarottu" w:id="0" w:date="2025-03-18T22:17:00Z">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find 2023 data, see the WHO Global TB Report dashboard here and select your country in the top toolbar: https://worldhealthorg.shinyapps.io/tb_profiles/?_inputs_&amp;tab=%22tables%22&amp;lan=%22EN%22&amp;iso2=%22KE%22&amp;entity_type=%22country%22</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2F"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64AB1"/>
    <w:pPr>
      <w:tabs>
        <w:tab w:val="center" w:pos="4680"/>
        <w:tab w:val="right" w:pos="9360"/>
      </w:tabs>
      <w:spacing w:after="0" w:line="240" w:lineRule="auto"/>
    </w:pPr>
  </w:style>
  <w:style w:type="character" w:styleId="HeaderChar" w:customStyle="1">
    <w:name w:val="Header Char"/>
    <w:basedOn w:val="DefaultParagraphFont"/>
    <w:link w:val="Header"/>
    <w:uiPriority w:val="99"/>
    <w:rsid w:val="00264AB1"/>
  </w:style>
  <w:style w:type="paragraph" w:styleId="Footer">
    <w:name w:val="footer"/>
    <w:basedOn w:val="Normal"/>
    <w:link w:val="FooterChar"/>
    <w:uiPriority w:val="99"/>
    <w:unhideWhenUsed w:val="1"/>
    <w:rsid w:val="00264AB1"/>
    <w:pPr>
      <w:tabs>
        <w:tab w:val="center" w:pos="4680"/>
        <w:tab w:val="right" w:pos="9360"/>
      </w:tabs>
      <w:spacing w:after="0" w:line="240" w:lineRule="auto"/>
    </w:pPr>
  </w:style>
  <w:style w:type="character" w:styleId="FooterChar" w:customStyle="1">
    <w:name w:val="Footer Char"/>
    <w:basedOn w:val="DefaultParagraphFont"/>
    <w:link w:val="Footer"/>
    <w:uiPriority w:val="99"/>
    <w:rsid w:val="00264AB1"/>
  </w:style>
  <w:style w:type="character" w:styleId="Strong">
    <w:name w:val="Strong"/>
    <w:basedOn w:val="DefaultParagraphFont"/>
    <w:uiPriority w:val="22"/>
    <w:qFormat w:val="1"/>
    <w:rsid w:val="00264AB1"/>
    <w:rPr>
      <w:b w:val="1"/>
      <w:bCs w:val="1"/>
    </w:rPr>
  </w:style>
  <w:style w:type="character" w:styleId="Hyperlink">
    <w:name w:val="Hyperlink"/>
    <w:basedOn w:val="DefaultParagraphFont"/>
    <w:uiPriority w:val="99"/>
    <w:unhideWhenUsed w:val="1"/>
    <w:rsid w:val="00264AB1"/>
    <w:rPr>
      <w:color w:val="0563c1" w:themeColor="hyperlink"/>
      <w:u w:val="single"/>
    </w:rPr>
  </w:style>
  <w:style w:type="character" w:styleId="CommentReference">
    <w:name w:val="annotation reference"/>
    <w:basedOn w:val="DefaultParagraphFont"/>
    <w:uiPriority w:val="99"/>
    <w:semiHidden w:val="1"/>
    <w:unhideWhenUsed w:val="1"/>
    <w:rsid w:val="00264AB1"/>
    <w:rPr>
      <w:sz w:val="16"/>
      <w:szCs w:val="16"/>
    </w:rPr>
  </w:style>
  <w:style w:type="paragraph" w:styleId="ListParagraph">
    <w:name w:val="List Paragraph"/>
    <w:basedOn w:val="Normal"/>
    <w:uiPriority w:val="34"/>
    <w:qFormat w:val="1"/>
    <w:rsid w:val="00264AB1"/>
    <w:pPr>
      <w:spacing w:after="0" w:line="276" w:lineRule="auto"/>
      <w:ind w:left="720"/>
      <w:contextualSpacing w:val="1"/>
    </w:pPr>
    <w:rPr>
      <w:rFonts w:ascii="Arial" w:cs="Arial" w:eastAsia="Arial" w:hAnsi="Arial"/>
      <w:lang w:val="e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toptb.org/what-we-do/advocate-endtb/global-plan-end-tb/global-plan-end-tb-2023-2030" TargetMode="External"/><Relationship Id="rId10" Type="http://schemas.openxmlformats.org/officeDocument/2006/relationships/hyperlink" Target="https://www.who.int/teams/global-tuberculosis-programme/tb-reports/global-tuberculosis-report-2024" TargetMode="External"/><Relationship Id="rId13" Type="http://schemas.openxmlformats.org/officeDocument/2006/relationships/header" Target="header3.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jpg"/><Relationship Id="rId15" Type="http://schemas.openxmlformats.org/officeDocument/2006/relationships/footer" Target="footer2.xml"/><Relationship Id="rId14" Type="http://schemas.openxmlformats.org/officeDocument/2006/relationships/header" Target="header1.xml"/><Relationship Id="rId17" Type="http://schemas.openxmlformats.org/officeDocument/2006/relationships/footer" Target="footer1.xml"/><Relationship Id="rId16"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oGeyYcWb51SmH+A1y0jbfe45Ew==">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2025-03-20T14:40:00Z</dcterms:created>
  <dc:creator>Stengif-PC-COM-03</dc:creator>
</cp:coreProperties>
</file>